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407C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7C66">
              <w:rPr>
                <w:rFonts w:ascii="Times New Roman" w:eastAsia="Times New Roman" w:hAnsi="Times New Roman" w:cs="Times New Roman"/>
                <w:sz w:val="28"/>
                <w:szCs w:val="28"/>
              </w:rPr>
              <w:t>07.11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07C6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7C66" w:rsidRPr="00407C66">
              <w:rPr>
                <w:rFonts w:ascii="Times New Roman" w:eastAsia="Times New Roman" w:hAnsi="Times New Roman" w:cs="Times New Roman"/>
                <w:sz w:val="28"/>
                <w:szCs w:val="28"/>
              </w:rPr>
              <w:t>«О внесении изменений и дополнений в постановление главы Алексеевского сельского поселения Москаленского муниципального района Омской области №53 от 24.07.2023г. «Об утверждении порядка выявления и оформления выморочного имущества в собственность  Алексеевского сельского поселения Москаленского муниципального района Омской области»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 xml:space="preserve"> 07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07C6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07C66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118</cp:revision>
  <dcterms:created xsi:type="dcterms:W3CDTF">2021-01-25T10:55:00Z</dcterms:created>
  <dcterms:modified xsi:type="dcterms:W3CDTF">2024-11-08T09:59:00Z</dcterms:modified>
</cp:coreProperties>
</file>