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C0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антикоррупционной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7F0A4C" w:rsidTr="004620B7">
        <w:trPr>
          <w:trHeight w:val="528"/>
        </w:trPr>
        <w:tc>
          <w:tcPr>
            <w:tcW w:w="10563" w:type="dxa"/>
          </w:tcPr>
          <w:p w:rsidR="00434C13" w:rsidRPr="00C0609E" w:rsidRDefault="00EE7BBE" w:rsidP="00AB51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AB51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B51DE">
              <w:rPr>
                <w:rFonts w:ascii="Times New Roman" w:eastAsia="Times New Roman" w:hAnsi="Times New Roman" w:cs="Times New Roman"/>
                <w:sz w:val="28"/>
                <w:szCs w:val="28"/>
              </w:rPr>
              <w:t>5 «</w:t>
            </w:r>
            <w:r w:rsidR="00AB51DE" w:rsidRPr="00416939">
              <w:rPr>
                <w:rFonts w:ascii="Times New Roman" w:hAnsi="Times New Roman" w:cs="Times New Roman"/>
                <w:sz w:val="24"/>
                <w:szCs w:val="24"/>
              </w:rPr>
              <w:t>Об утверждении Штатных расписаний</w:t>
            </w:r>
            <w:r w:rsidR="00AB51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91F1A" w:rsidRPr="00416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B51D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2025-04-04T09:01:00Z</dcterms:modified>
</cp:coreProperties>
</file>